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2107" w14:textId="77777777" w:rsidR="005C0A06" w:rsidRPr="00F21AE4" w:rsidRDefault="005C0A06" w:rsidP="005C0A06">
      <w:pPr>
        <w:pStyle w:val="Heading1"/>
        <w:numPr>
          <w:ilvl w:val="0"/>
          <w:numId w:val="0"/>
        </w:numPr>
        <w:ind w:left="720" w:hanging="720"/>
        <w:rPr>
          <w:sz w:val="18"/>
          <w:szCs w:val="18"/>
        </w:rPr>
      </w:pPr>
      <w:r w:rsidRPr="00F21AE4">
        <w:rPr>
          <w:sz w:val="18"/>
          <w:szCs w:val="18"/>
        </w:rPr>
        <w:t>DPIA Assessment Checklist</w:t>
      </w:r>
    </w:p>
    <w:p w14:paraId="4086D632" w14:textId="77777777" w:rsidR="005C0A06" w:rsidRPr="00F21AE4" w:rsidRDefault="005C0A06" w:rsidP="005C0A06">
      <w:pPr>
        <w:pStyle w:val="AnnexureHeading1"/>
      </w:pPr>
      <w:r w:rsidRPr="00F21AE4">
        <w:t>Under the GDPR, data protection impact assessments (DPIAs) are mandatory where the processing poses a high risk to the rights and freedoms of individuals. While they can also be carried out in other situations, councils need to be able to evaluate when a DPIA is required.</w:t>
      </w:r>
    </w:p>
    <w:p w14:paraId="0FD40F0A" w14:textId="77777777" w:rsidR="005C0A06" w:rsidRPr="00F21AE4" w:rsidRDefault="005C0A06" w:rsidP="005C0A06">
      <w:pPr>
        <w:pStyle w:val="AnnexureHeading1"/>
        <w:numPr>
          <w:ilvl w:val="0"/>
          <w:numId w:val="5"/>
        </w:numPr>
      </w:pPr>
      <w:r w:rsidRPr="00F21AE4">
        <w:t>This checklist helps you make that assessment and provides a springboard for some of the issues you will need to consider in more detail if you do need to carry out a DPIA.</w:t>
      </w:r>
    </w:p>
    <w:p w14:paraId="5551A210" w14:textId="77777777" w:rsidR="005C0A06" w:rsidRPr="00F21AE4" w:rsidRDefault="005C0A06" w:rsidP="005C0A06">
      <w:pPr>
        <w:pStyle w:val="ScheduleHeading1"/>
        <w:numPr>
          <w:ilvl w:val="0"/>
          <w:numId w:val="7"/>
        </w:numPr>
        <w:spacing w:line="240" w:lineRule="auto"/>
      </w:pPr>
      <w:r w:rsidRPr="00F21AE4">
        <w:t>Do you need to carry out a DPIA?</w:t>
      </w:r>
    </w:p>
    <w:p w14:paraId="37C318D4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What is the objective/intended outcome of the project?</w:t>
      </w:r>
    </w:p>
    <w:p w14:paraId="529C4EC3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Is it a significant piece of work affecting how services/operations are currently provided?</w:t>
      </w:r>
    </w:p>
    <w:p w14:paraId="51866F32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Who is the audience or who will be affected by the project?</w:t>
      </w:r>
    </w:p>
    <w:p w14:paraId="2D64C1A2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 xml:space="preserve">Will the project involve the collection of new personal data about people? </w:t>
      </w:r>
      <w:r w:rsidRPr="00F21AE4">
        <w:rPr>
          <w:iCs/>
        </w:rPr>
        <w:t>e.g. new identifiers or behavioural information relating to individuals</w:t>
      </w:r>
    </w:p>
    <w:p w14:paraId="0D652FFB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Will the project involve combining anonymised data sources in a way that may give rise to a risk that individuals could be identified?</w:t>
      </w:r>
    </w:p>
    <w:p w14:paraId="7DEE78A3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Will the project involve combining datasets originating from different processing operations or data controllers in a way which would exceed the reasonable expectations of the individuals?</w:t>
      </w:r>
    </w:p>
    <w:p w14:paraId="4096F7DB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Is data being processed on a large scale?</w:t>
      </w:r>
    </w:p>
    <w:p w14:paraId="7AAF6319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Will the project compel individuals to provide personal data about themselves?</w:t>
      </w:r>
    </w:p>
    <w:p w14:paraId="3579AE6B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Will personal data about individuals be disclosed to organisations or people who have not previously had routine access to the personal data?</w:t>
      </w:r>
    </w:p>
    <w:p w14:paraId="18250DEC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Will personal data be transferred outside the EEA?</w:t>
      </w:r>
    </w:p>
    <w:p w14:paraId="6093E269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Is personal data about individuals to be used for a purpose it is not currently used for, or in a way it is not currently used?</w:t>
      </w:r>
    </w:p>
    <w:p w14:paraId="2461C185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Will personal data about children under 13 or other vulnerable persons be collected or otherwise processed?</w:t>
      </w:r>
    </w:p>
    <w:p w14:paraId="5549C9F5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Will new technology be used which might be seen as privacy intrusive? (e.g. tracking, surveillance, observation or monitoring software, capture of image, video or audio or location)</w:t>
      </w:r>
    </w:p>
    <w:p w14:paraId="0AD59027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Is monitoring or tracking or profiling of individuals taking place?</w:t>
      </w:r>
    </w:p>
    <w:p w14:paraId="3E07DAF8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Is data being used for automated decision making with legal or similar significant effect?</w:t>
      </w:r>
    </w:p>
    <w:p w14:paraId="4E683BC7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Is data being used for evaluation or scoring? (e.g. performance at work, economic situation, health, interests or behaviour)</w:t>
      </w:r>
    </w:p>
    <w:p w14:paraId="0FCA1969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 xml:space="preserve">Is sensitive data being collected including: </w:t>
      </w:r>
    </w:p>
    <w:p w14:paraId="573D9BFF" w14:textId="77777777" w:rsidR="005C0A06" w:rsidRPr="00F21AE4" w:rsidRDefault="005C0A06" w:rsidP="005C0A06">
      <w:pPr>
        <w:pStyle w:val="ScheduleHeading3"/>
      </w:pPr>
      <w:r w:rsidRPr="00F21AE4">
        <w:t>Race</w:t>
      </w:r>
    </w:p>
    <w:p w14:paraId="71967115" w14:textId="77777777" w:rsidR="005C0A06" w:rsidRPr="00F21AE4" w:rsidRDefault="005C0A06" w:rsidP="005C0A06">
      <w:pPr>
        <w:pStyle w:val="ScheduleHeading3"/>
      </w:pPr>
      <w:r w:rsidRPr="00F21AE4">
        <w:t>Ethnic origin</w:t>
      </w:r>
    </w:p>
    <w:p w14:paraId="337D1E9A" w14:textId="77777777" w:rsidR="005C0A06" w:rsidRPr="00F21AE4" w:rsidRDefault="005C0A06" w:rsidP="005C0A06">
      <w:pPr>
        <w:pStyle w:val="ScheduleHeading3"/>
      </w:pPr>
      <w:r w:rsidRPr="00F21AE4">
        <w:t>Political opinions</w:t>
      </w:r>
    </w:p>
    <w:p w14:paraId="620BCA0B" w14:textId="77777777" w:rsidR="005C0A06" w:rsidRPr="00F21AE4" w:rsidRDefault="005C0A06" w:rsidP="005C0A06">
      <w:pPr>
        <w:pStyle w:val="ScheduleHeading3"/>
      </w:pPr>
      <w:r w:rsidRPr="00F21AE4">
        <w:t>Religious or philosophical beliefs</w:t>
      </w:r>
    </w:p>
    <w:p w14:paraId="7952E880" w14:textId="77777777" w:rsidR="005C0A06" w:rsidRPr="00F21AE4" w:rsidRDefault="005C0A06" w:rsidP="005C0A06">
      <w:pPr>
        <w:pStyle w:val="ScheduleHeading3"/>
      </w:pPr>
      <w:r w:rsidRPr="00F21AE4">
        <w:t>Trade union membership</w:t>
      </w:r>
    </w:p>
    <w:p w14:paraId="7CAE74E7" w14:textId="77777777" w:rsidR="005C0A06" w:rsidRPr="00F21AE4" w:rsidRDefault="005C0A06" w:rsidP="005C0A06">
      <w:pPr>
        <w:pStyle w:val="ScheduleHeading3"/>
      </w:pPr>
      <w:r w:rsidRPr="00F21AE4">
        <w:t>Genetic data</w:t>
      </w:r>
    </w:p>
    <w:p w14:paraId="4BC7AC3E" w14:textId="77777777" w:rsidR="005C0A06" w:rsidRPr="00F21AE4" w:rsidRDefault="005C0A06" w:rsidP="005C0A06">
      <w:pPr>
        <w:pStyle w:val="ScheduleHeading3"/>
      </w:pPr>
      <w:r w:rsidRPr="00F21AE4">
        <w:t>Biometric data (e.g. facial recognition, finger print data)</w:t>
      </w:r>
    </w:p>
    <w:p w14:paraId="462796C6" w14:textId="77777777" w:rsidR="005C0A06" w:rsidRPr="00F21AE4" w:rsidRDefault="005C0A06" w:rsidP="005C0A06">
      <w:pPr>
        <w:pStyle w:val="ScheduleHeading3"/>
      </w:pPr>
      <w:r w:rsidRPr="00F21AE4">
        <w:t>Health data</w:t>
      </w:r>
    </w:p>
    <w:p w14:paraId="77CFF202" w14:textId="77777777" w:rsidR="005C0A06" w:rsidRPr="00F21AE4" w:rsidRDefault="005C0A06" w:rsidP="005C0A06">
      <w:pPr>
        <w:pStyle w:val="ScheduleHeading3"/>
      </w:pPr>
      <w:r w:rsidRPr="00F21AE4">
        <w:t>Data about sex life or sexual orientation?</w:t>
      </w:r>
    </w:p>
    <w:p w14:paraId="7F842CE3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lastRenderedPageBreak/>
        <w:t>Will the processing itself prevent data subjects from exercising a right or using a service or contract?</w:t>
      </w:r>
    </w:p>
    <w:p w14:paraId="0CBAEB8A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Is the personal data about individuals of a kind likely to raise privacy concerns or is it personal data people would consider to be particularly private or confidential?</w:t>
      </w:r>
    </w:p>
    <w:p w14:paraId="79EAD656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>Will the project require contact to be made with individuals in ways they may find intrusive?</w:t>
      </w:r>
    </w:p>
    <w:p w14:paraId="412D8CD7" w14:textId="77777777" w:rsidR="005C0A06" w:rsidRPr="00F21AE4" w:rsidRDefault="005C0A06" w:rsidP="005C0A06">
      <w:pPr>
        <w:pStyle w:val="ScheduleHeading1"/>
        <w:spacing w:line="240" w:lineRule="auto"/>
      </w:pPr>
      <w:r w:rsidRPr="00F21AE4">
        <w:t>Other issues to consider when carrying out a DPIA</w:t>
      </w:r>
    </w:p>
    <w:p w14:paraId="0B80E7A7" w14:textId="77777777" w:rsidR="005C0A06" w:rsidRPr="00F21AE4" w:rsidRDefault="005C0A06" w:rsidP="005C0A06">
      <w:pPr>
        <w:pStyle w:val="ScheduleHeading2"/>
        <w:spacing w:line="240" w:lineRule="auto"/>
      </w:pPr>
      <w:r w:rsidRPr="00F21AE4">
        <w:t xml:space="preserve">In addition to considering the above issues in greater detail, when conducting a DPIA, you will also need to look at issues including: </w:t>
      </w:r>
    </w:p>
    <w:p w14:paraId="6B43B972" w14:textId="77777777" w:rsidR="005C0A06" w:rsidRPr="00F21AE4" w:rsidRDefault="005C0A06" w:rsidP="005C0A06">
      <w:pPr>
        <w:pStyle w:val="ScheduleHeading3"/>
      </w:pPr>
      <w:r w:rsidRPr="00F21AE4">
        <w:t>The lawful grounds for processing and the capture of consent where appropriate</w:t>
      </w:r>
    </w:p>
    <w:p w14:paraId="202E4B11" w14:textId="77777777" w:rsidR="005C0A06" w:rsidRPr="00F21AE4" w:rsidRDefault="005C0A06" w:rsidP="005C0A06">
      <w:pPr>
        <w:pStyle w:val="ScheduleHeading3"/>
      </w:pPr>
      <w:r w:rsidRPr="00F21AE4">
        <w:t>The purposes the data will be used for, how this will be communicated to the data subjects and the lawful grounds for processing</w:t>
      </w:r>
    </w:p>
    <w:p w14:paraId="2B02A05F" w14:textId="77777777" w:rsidR="005C0A06" w:rsidRPr="00F21AE4" w:rsidRDefault="005C0A06" w:rsidP="005C0A06">
      <w:pPr>
        <w:pStyle w:val="ScheduleHeading3"/>
      </w:pPr>
      <w:r w:rsidRPr="00F21AE4">
        <w:t>Who the data will be disclosed to</w:t>
      </w:r>
    </w:p>
    <w:p w14:paraId="1ECF2425" w14:textId="77777777" w:rsidR="005C0A06" w:rsidRPr="00F21AE4" w:rsidRDefault="005C0A06" w:rsidP="005C0A06">
      <w:pPr>
        <w:pStyle w:val="ScheduleHeading3"/>
      </w:pPr>
      <w:r w:rsidRPr="00F21AE4">
        <w:t>Where the data will be hosted and its geographical journey (including how data subjects will be kept informed about this)</w:t>
      </w:r>
    </w:p>
    <w:p w14:paraId="0BAA6BCC" w14:textId="77777777" w:rsidR="005C0A06" w:rsidRPr="00F21AE4" w:rsidRDefault="005C0A06" w:rsidP="005C0A06">
      <w:pPr>
        <w:pStyle w:val="ScheduleHeading3"/>
      </w:pPr>
      <w:r w:rsidRPr="00F21AE4">
        <w:t>The internal process for risk assessment</w:t>
      </w:r>
    </w:p>
    <w:p w14:paraId="23F6281C" w14:textId="77777777" w:rsidR="005C0A06" w:rsidRPr="00F21AE4" w:rsidRDefault="005C0A06" w:rsidP="005C0A06">
      <w:pPr>
        <w:pStyle w:val="ScheduleHeading3"/>
      </w:pPr>
      <w:r w:rsidRPr="00F21AE4">
        <w:t xml:space="preserve">Who needs to be consulted (DPO, data subjects, the </w:t>
      </w:r>
      <w:r w:rsidRPr="00F21AE4">
        <w:rPr>
          <w:rStyle w:val="Bodytext2"/>
          <w:rFonts w:cs="Arial Black"/>
        </w:rPr>
        <w:t>Information Commissioners Office</w:t>
      </w:r>
      <w:r w:rsidRPr="00F21AE4">
        <w:t xml:space="preserve"> (“ICO”))</w:t>
      </w:r>
    </w:p>
    <w:p w14:paraId="356D7A16" w14:textId="77777777" w:rsidR="005C0A06" w:rsidRPr="00F21AE4" w:rsidRDefault="005C0A06" w:rsidP="005C0A06">
      <w:pPr>
        <w:pStyle w:val="ScheduleHeading3"/>
      </w:pPr>
      <w:r w:rsidRPr="00F21AE4">
        <w:t>Data minimisation (including whether data can be anonymised)</w:t>
      </w:r>
    </w:p>
    <w:p w14:paraId="43F17582" w14:textId="77777777" w:rsidR="005C0A06" w:rsidRPr="00F21AE4" w:rsidRDefault="005C0A06" w:rsidP="005C0A06">
      <w:pPr>
        <w:pStyle w:val="ScheduleHeading3"/>
      </w:pPr>
      <w:r w:rsidRPr="00F21AE4">
        <w:t>How accuracy of data will be maintained</w:t>
      </w:r>
    </w:p>
    <w:p w14:paraId="2135DC10" w14:textId="77777777" w:rsidR="005C0A06" w:rsidRPr="00F21AE4" w:rsidRDefault="005C0A06" w:rsidP="005C0A06">
      <w:pPr>
        <w:pStyle w:val="ScheduleHeading3"/>
      </w:pPr>
      <w:r w:rsidRPr="00F21AE4">
        <w:t>How long the data will be retained and what the processes are for deletion of data</w:t>
      </w:r>
    </w:p>
    <w:p w14:paraId="2A481181" w14:textId="77777777" w:rsidR="005C0A06" w:rsidRPr="00F21AE4" w:rsidRDefault="005C0A06" w:rsidP="005C0A06">
      <w:pPr>
        <w:pStyle w:val="ScheduleHeading3"/>
      </w:pPr>
      <w:r w:rsidRPr="00F21AE4">
        <w:t>Data storage measures</w:t>
      </w:r>
    </w:p>
    <w:p w14:paraId="29D4447A" w14:textId="77777777" w:rsidR="005C0A06" w:rsidRPr="00F21AE4" w:rsidRDefault="005C0A06" w:rsidP="005C0A06">
      <w:pPr>
        <w:pStyle w:val="ScheduleHeading3"/>
      </w:pPr>
      <w:r w:rsidRPr="00F21AE4">
        <w:t>Data security measures including what is appropriate relative to risk and whether measures such as encryption or pseudonymisation can be used to reduce risk</w:t>
      </w:r>
    </w:p>
    <w:p w14:paraId="4F53C227" w14:textId="77777777" w:rsidR="005C0A06" w:rsidRPr="00F21AE4" w:rsidRDefault="005C0A06" w:rsidP="005C0A06">
      <w:pPr>
        <w:pStyle w:val="ScheduleHeading3"/>
      </w:pPr>
      <w:r w:rsidRPr="00F21AE4">
        <w:t>Opportunities for data subject to exercise their rights</w:t>
      </w:r>
    </w:p>
    <w:p w14:paraId="5B4C3718" w14:textId="77777777" w:rsidR="005C0A06" w:rsidRPr="00F21AE4" w:rsidRDefault="005C0A06" w:rsidP="005C0A06">
      <w:pPr>
        <w:pStyle w:val="ScheduleHeading3"/>
      </w:pPr>
      <w:r w:rsidRPr="00F21AE4">
        <w:t>What staff or, as appropriate,  councillor training is being undertaken to help minimise risk</w:t>
      </w:r>
    </w:p>
    <w:p w14:paraId="15EA8743" w14:textId="77777777" w:rsidR="005C0A06" w:rsidRPr="00F21AE4" w:rsidRDefault="005C0A06" w:rsidP="005C0A06">
      <w:pPr>
        <w:pStyle w:val="ScheduleHeading3"/>
      </w:pPr>
      <w:r w:rsidRPr="00F21AE4">
        <w:t>The technical and organisational measures used to reduce risk (including allowing different levels of access to data and red flagging unusual behaviour or incidents)</w:t>
      </w:r>
    </w:p>
    <w:p w14:paraId="6153CC43" w14:textId="77777777" w:rsidR="005C0A06" w:rsidRPr="00F21AE4" w:rsidRDefault="005C0A06" w:rsidP="005C0A06">
      <w:pPr>
        <w:pStyle w:val="ScheduleHeading1"/>
        <w:spacing w:line="240" w:lineRule="auto"/>
      </w:pPr>
      <w:r w:rsidRPr="00F21AE4">
        <w:t xml:space="preserve">The GDPR requires that councils carry out a DPIA when processing is likely to result in a high risk to the rights and freedoms of data subjects.  For a council, examples might include using CCTV to monitor public areas. </w:t>
      </w:r>
    </w:p>
    <w:p w14:paraId="66D005A6" w14:textId="77777777" w:rsidR="005C0A06" w:rsidRPr="00F21AE4" w:rsidRDefault="005C0A06" w:rsidP="005C0A06">
      <w:pPr>
        <w:pStyle w:val="ScheduleHeading1"/>
        <w:spacing w:after="240" w:line="240" w:lineRule="auto"/>
      </w:pPr>
      <w:r w:rsidRPr="00F21AE4">
        <w:t xml:space="preserve">If two or more of the following apply, it is likely that you will be required to carry out a DPIA.  This does not apply to existing systems but would apply if you introduced a new system. </w:t>
      </w:r>
    </w:p>
    <w:tbl>
      <w:tblPr>
        <w:tblStyle w:val="TableGrid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87"/>
        <w:gridCol w:w="851"/>
      </w:tblGrid>
      <w:tr w:rsidR="005C0A06" w:rsidRPr="00F21AE4" w14:paraId="10D46031" w14:textId="77777777" w:rsidTr="00C7038E">
        <w:tc>
          <w:tcPr>
            <w:tcW w:w="709" w:type="dxa"/>
          </w:tcPr>
          <w:p w14:paraId="55758CF1" w14:textId="77777777"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19ACD903" w14:textId="77777777"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Profiling is in use.  Example: you monitor website clicks or behaviour and record people’s interests.</w:t>
            </w:r>
          </w:p>
        </w:tc>
        <w:tc>
          <w:tcPr>
            <w:tcW w:w="851" w:type="dxa"/>
          </w:tcPr>
          <w:p w14:paraId="170E0B4E" w14:textId="77777777"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14:paraId="2B7D3899" w14:textId="77777777" w:rsidTr="00C7038E">
        <w:tc>
          <w:tcPr>
            <w:tcW w:w="709" w:type="dxa"/>
          </w:tcPr>
          <w:p w14:paraId="3E7AFBC3" w14:textId="77777777"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0F193804" w14:textId="77777777"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Automated-decision making.  Example: when processing leads to the potential exclusion of individuals.  </w:t>
            </w:r>
          </w:p>
        </w:tc>
        <w:tc>
          <w:tcPr>
            <w:tcW w:w="851" w:type="dxa"/>
          </w:tcPr>
          <w:p w14:paraId="5586B291" w14:textId="77777777"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14:paraId="6C9EBE0D" w14:textId="77777777" w:rsidTr="00C7038E">
        <w:tc>
          <w:tcPr>
            <w:tcW w:w="709" w:type="dxa"/>
          </w:tcPr>
          <w:p w14:paraId="7DF109D7" w14:textId="77777777" w:rsidR="005C0A06" w:rsidRPr="00F21AE4" w:rsidDel="00711EED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23136927" w14:textId="77777777"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CCTV surveillance of public areas.  Processing used to observe, monitor or control data subjects.  </w:t>
            </w:r>
          </w:p>
        </w:tc>
        <w:tc>
          <w:tcPr>
            <w:tcW w:w="851" w:type="dxa"/>
          </w:tcPr>
          <w:p w14:paraId="3AB5D44F" w14:textId="77777777" w:rsidR="005C0A06" w:rsidRPr="00F21AE4" w:rsidDel="00711EED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14:paraId="26DA7B1E" w14:textId="77777777" w:rsidTr="00C7038E">
        <w:tc>
          <w:tcPr>
            <w:tcW w:w="709" w:type="dxa"/>
          </w:tcPr>
          <w:p w14:paraId="20EDF362" w14:textId="77777777"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639EB76A" w14:textId="77777777"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Sensitive personal data as well as personal data relating to criminal convictions or offences.      </w:t>
            </w:r>
          </w:p>
        </w:tc>
        <w:tc>
          <w:tcPr>
            <w:tcW w:w="851" w:type="dxa"/>
          </w:tcPr>
          <w:p w14:paraId="5AEF3BEB" w14:textId="77777777"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14:paraId="31537FB1" w14:textId="77777777" w:rsidTr="00C7038E">
        <w:tc>
          <w:tcPr>
            <w:tcW w:w="709" w:type="dxa"/>
          </w:tcPr>
          <w:p w14:paraId="26B1F216" w14:textId="77777777"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13A0F4B6" w14:textId="77777777"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Large scale data processing.  There is no definition of “large scale”.  However consider: the number of data subjects concerned, the volume of data and/or the range of different data items being processed.</w:t>
            </w:r>
          </w:p>
        </w:tc>
        <w:tc>
          <w:tcPr>
            <w:tcW w:w="851" w:type="dxa"/>
          </w:tcPr>
          <w:p w14:paraId="20D89EDE" w14:textId="77777777"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14:paraId="5DBECC14" w14:textId="77777777" w:rsidTr="00C7038E">
        <w:tc>
          <w:tcPr>
            <w:tcW w:w="709" w:type="dxa"/>
          </w:tcPr>
          <w:p w14:paraId="6B56895B" w14:textId="77777777"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71E06303" w14:textId="77777777"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Linked databases - in other words, data aggregation.  Example: two datasets merged together, which could “exceed the reasonable expectations of the user” e.g. you merge your mailing list with another council, club or association. </w:t>
            </w:r>
          </w:p>
        </w:tc>
        <w:tc>
          <w:tcPr>
            <w:tcW w:w="851" w:type="dxa"/>
          </w:tcPr>
          <w:p w14:paraId="48436D24" w14:textId="77777777"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14:paraId="55A01632" w14:textId="77777777" w:rsidTr="00C7038E">
        <w:tc>
          <w:tcPr>
            <w:tcW w:w="709" w:type="dxa"/>
          </w:tcPr>
          <w:p w14:paraId="7BA7F879" w14:textId="77777777"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75F438A8" w14:textId="77777777"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Data concerning vulnerable data subjects, especially when power imbalances arise, e.g. staff-employer, where consent may be vague, data of children, mentally ill, asylum seekers, elderly, patients.  </w:t>
            </w:r>
          </w:p>
        </w:tc>
        <w:tc>
          <w:tcPr>
            <w:tcW w:w="851" w:type="dxa"/>
          </w:tcPr>
          <w:p w14:paraId="352E8B3B" w14:textId="77777777"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14:paraId="34A5FD4F" w14:textId="77777777" w:rsidTr="00C7038E">
        <w:tc>
          <w:tcPr>
            <w:tcW w:w="709" w:type="dxa"/>
          </w:tcPr>
          <w:p w14:paraId="79806C1B" w14:textId="77777777"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4EC02FE2" w14:textId="77777777"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“New technologies are in use”.  E.g.  use of social media, etc.     </w:t>
            </w:r>
          </w:p>
        </w:tc>
        <w:tc>
          <w:tcPr>
            <w:tcW w:w="851" w:type="dxa"/>
          </w:tcPr>
          <w:p w14:paraId="3DF9D67B" w14:textId="77777777"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14:paraId="5CF811B5" w14:textId="77777777" w:rsidTr="00C7038E">
        <w:tc>
          <w:tcPr>
            <w:tcW w:w="709" w:type="dxa"/>
          </w:tcPr>
          <w:p w14:paraId="5EF38442" w14:textId="77777777"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3F25B989" w14:textId="77777777"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Data transfers outside of the EEA.</w:t>
            </w:r>
          </w:p>
        </w:tc>
        <w:tc>
          <w:tcPr>
            <w:tcW w:w="851" w:type="dxa"/>
          </w:tcPr>
          <w:p w14:paraId="254B8347" w14:textId="77777777"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5C0A06" w:rsidRPr="00F21AE4" w14:paraId="69E98590" w14:textId="77777777" w:rsidTr="00C7038E">
        <w:tc>
          <w:tcPr>
            <w:tcW w:w="709" w:type="dxa"/>
          </w:tcPr>
          <w:p w14:paraId="33CC4191" w14:textId="77777777" w:rsidR="005C0A06" w:rsidRPr="00F21AE4" w:rsidRDefault="005C0A06" w:rsidP="005C0A0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3DFC3855" w14:textId="77777777" w:rsidR="005C0A06" w:rsidRPr="00F21AE4" w:rsidRDefault="005C0A06" w:rsidP="00C7038E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“Unavoidable and unexpected processing”.  For example, processing performed on a public area that people passing by cannot avoid.  Example: Wi-Fi tracking.</w:t>
            </w:r>
          </w:p>
        </w:tc>
        <w:tc>
          <w:tcPr>
            <w:tcW w:w="851" w:type="dxa"/>
          </w:tcPr>
          <w:p w14:paraId="1009FADC" w14:textId="77777777" w:rsidR="005C0A06" w:rsidRPr="00F21AE4" w:rsidRDefault="005C0A06" w:rsidP="00C7038E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</w:tbl>
    <w:p w14:paraId="3EB5D5A1" w14:textId="77777777" w:rsidR="005C0A06" w:rsidRPr="00F21AE4" w:rsidRDefault="005C0A06" w:rsidP="005C0A06">
      <w:pPr>
        <w:spacing w:line="240" w:lineRule="auto"/>
        <w:rPr>
          <w:sz w:val="18"/>
          <w:szCs w:val="18"/>
        </w:rPr>
      </w:pPr>
    </w:p>
    <w:p w14:paraId="60D1660A" w14:textId="77777777" w:rsidR="005C0A06" w:rsidRPr="00F21AE4" w:rsidRDefault="005C0A06" w:rsidP="005C0A06">
      <w:pPr>
        <w:rPr>
          <w:sz w:val="18"/>
          <w:szCs w:val="18"/>
        </w:rPr>
      </w:pPr>
    </w:p>
    <w:p w14:paraId="5C4484B1" w14:textId="77777777" w:rsidR="007C6E7E" w:rsidRDefault="002672F3">
      <w:r>
        <w:tab/>
        <w:t>This checklist was reviewed on …………………..</w:t>
      </w:r>
    </w:p>
    <w:p w14:paraId="4BA36C31" w14:textId="7410EC40" w:rsidR="002672F3" w:rsidRDefault="002672F3">
      <w:r>
        <w:tab/>
      </w:r>
      <w:r w:rsidR="006E32F0">
        <w:t>Re</w:t>
      </w:r>
      <w:r w:rsidR="00C9076B">
        <w:t>edham</w:t>
      </w:r>
      <w:r>
        <w:t xml:space="preserve"> Parish Council agreed that a Date Protection Impact Assessment was not required</w:t>
      </w:r>
      <w:r w:rsidR="00DA5DB4">
        <w:t>.</w:t>
      </w:r>
    </w:p>
    <w:p w14:paraId="577A713C" w14:textId="77777777" w:rsidR="00DA5DB4" w:rsidRDefault="00DA5DB4"/>
    <w:p w14:paraId="0F56F80C" w14:textId="77777777" w:rsidR="00DA5DB4" w:rsidRDefault="00DA5DB4"/>
    <w:p w14:paraId="16769165" w14:textId="77777777" w:rsidR="00DA5DB4" w:rsidRDefault="00DA5DB4">
      <w:r>
        <w:tab/>
      </w:r>
      <w:proofErr w:type="gramStart"/>
      <w:r>
        <w:t>Signed:…</w:t>
      </w:r>
      <w:proofErr w:type="gramEnd"/>
      <w:r>
        <w:t>………………………………………..</w:t>
      </w:r>
      <w:r>
        <w:tab/>
      </w:r>
      <w:proofErr w:type="gramStart"/>
      <w:r>
        <w:t>Dated:…</w:t>
      </w:r>
      <w:proofErr w:type="gramEnd"/>
      <w:r>
        <w:t>…………………………………….</w:t>
      </w:r>
    </w:p>
    <w:p w14:paraId="5DB48989" w14:textId="48443F42" w:rsidR="00DA5DB4" w:rsidRDefault="00DA5DB4">
      <w:r>
        <w:tab/>
        <w:t xml:space="preserve">On behalf of </w:t>
      </w:r>
      <w:r w:rsidR="007726F4">
        <w:t>Re</w:t>
      </w:r>
      <w:r w:rsidR="0012624B">
        <w:t>e</w:t>
      </w:r>
      <w:bookmarkStart w:id="0" w:name="_GoBack"/>
      <w:bookmarkEnd w:id="0"/>
      <w:r w:rsidR="0012624B">
        <w:t>dham</w:t>
      </w:r>
      <w:r>
        <w:t xml:space="preserve"> Parish Council</w:t>
      </w:r>
    </w:p>
    <w:sectPr w:rsidR="00DA5DB4" w:rsidSect="00F63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5108"/>
    <w:multiLevelType w:val="hybridMultilevel"/>
    <w:tmpl w:val="FE5E10E8"/>
    <w:lvl w:ilvl="0" w:tplc="EC4CE69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52294"/>
    <w:multiLevelType w:val="multilevel"/>
    <w:tmpl w:val="9320C67E"/>
    <w:lvl w:ilvl="0">
      <w:start w:val="1"/>
      <w:numFmt w:val="upperLetter"/>
      <w:pStyle w:val="AnnexureHeading1"/>
      <w:lvlText w:val="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nnexureHeading2"/>
      <w:lvlText w:val="(%2)"/>
      <w:lvlJc w:val="left"/>
      <w:pPr>
        <w:tabs>
          <w:tab w:val="num" w:pos="851"/>
        </w:tabs>
        <w:ind w:left="720" w:firstLine="0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6677336"/>
    <w:multiLevelType w:val="hybridMultilevel"/>
    <w:tmpl w:val="5CE41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4" w15:restartNumberingAfterBreak="0">
    <w:nsid w:val="72F022E6"/>
    <w:multiLevelType w:val="multilevel"/>
    <w:tmpl w:val="BFFCAAEC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723" w:hanging="723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ScheduleHeading2"/>
      <w:lvlText w:val="(%2)"/>
      <w:lvlJc w:val="left"/>
      <w:pPr>
        <w:tabs>
          <w:tab w:val="num" w:pos="720"/>
        </w:tabs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ScheduleHeading3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A06"/>
    <w:rsid w:val="0012624B"/>
    <w:rsid w:val="002672F3"/>
    <w:rsid w:val="004B6DC2"/>
    <w:rsid w:val="005C0A06"/>
    <w:rsid w:val="006101D5"/>
    <w:rsid w:val="006E32F0"/>
    <w:rsid w:val="007726F4"/>
    <w:rsid w:val="007C6E7E"/>
    <w:rsid w:val="00A40CAD"/>
    <w:rsid w:val="00C43261"/>
    <w:rsid w:val="00C9076B"/>
    <w:rsid w:val="00DA5DB4"/>
    <w:rsid w:val="00DE3C4F"/>
    <w:rsid w:val="00F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7157"/>
  <w15:docId w15:val="{F7732B6D-CA30-4B44-8F35-E624CD2A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0A06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5C0A06"/>
    <w:pPr>
      <w:keepNext/>
      <w:numPr>
        <w:numId w:val="3"/>
      </w:numPr>
      <w:spacing w:before="240" w:after="200" w:line="280" w:lineRule="exact"/>
      <w:outlineLvl w:val="0"/>
    </w:pPr>
    <w:rPr>
      <w:rFonts w:cs="Georgia"/>
      <w:b/>
    </w:rPr>
  </w:style>
  <w:style w:type="paragraph" w:styleId="Heading2">
    <w:name w:val="heading 2"/>
    <w:basedOn w:val="Normal"/>
    <w:link w:val="Heading2Char"/>
    <w:qFormat/>
    <w:rsid w:val="005C0A06"/>
    <w:pPr>
      <w:numPr>
        <w:ilvl w:val="1"/>
        <w:numId w:val="3"/>
      </w:numPr>
      <w:spacing w:after="200" w:line="240" w:lineRule="exact"/>
      <w:outlineLvl w:val="1"/>
    </w:pPr>
    <w:rPr>
      <w:bCs/>
      <w:szCs w:val="20"/>
    </w:rPr>
  </w:style>
  <w:style w:type="paragraph" w:styleId="Heading3">
    <w:name w:val="heading 3"/>
    <w:basedOn w:val="ListParagraph"/>
    <w:link w:val="Heading3Char"/>
    <w:uiPriority w:val="1"/>
    <w:qFormat/>
    <w:rsid w:val="005C0A06"/>
    <w:pPr>
      <w:numPr>
        <w:ilvl w:val="2"/>
        <w:numId w:val="3"/>
      </w:numPr>
      <w:spacing w:after="120"/>
      <w:outlineLvl w:val="2"/>
    </w:pPr>
    <w:rPr>
      <w:rFonts w:eastAsia="Arial Unicode MS"/>
    </w:rPr>
  </w:style>
  <w:style w:type="paragraph" w:styleId="Heading4">
    <w:name w:val="heading 4"/>
    <w:basedOn w:val="Heading3"/>
    <w:link w:val="Heading4Char"/>
    <w:qFormat/>
    <w:rsid w:val="005C0A06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5C0A06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5C0A06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5C0A06"/>
    <w:pPr>
      <w:numPr>
        <w:ilvl w:val="6"/>
        <w:numId w:val="3"/>
      </w:numPr>
      <w:spacing w:after="200" w:line="240" w:lineRule="exact"/>
      <w:ind w:left="2160" w:hanging="720"/>
      <w:outlineLvl w:val="6"/>
    </w:pPr>
    <w:rPr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5C0A06"/>
    <w:pPr>
      <w:numPr>
        <w:ilvl w:val="7"/>
        <w:numId w:val="3"/>
      </w:numPr>
      <w:spacing w:after="240" w:line="240" w:lineRule="auto"/>
      <w:ind w:left="2160" w:hanging="72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C0A06"/>
    <w:pPr>
      <w:numPr>
        <w:ilvl w:val="8"/>
        <w:numId w:val="3"/>
      </w:numPr>
      <w:spacing w:after="240"/>
      <w:ind w:left="2880" w:hanging="72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A06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C0A06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5C0A06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5C0A06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5C0A06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5C0A06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5C0A06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5C0A06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5C0A06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nnexureHeading1">
    <w:name w:val="Annexure Heading 1"/>
    <w:basedOn w:val="Normal"/>
    <w:next w:val="AnnexureHeading2"/>
    <w:qFormat/>
    <w:rsid w:val="005C0A06"/>
    <w:pPr>
      <w:numPr>
        <w:numId w:val="4"/>
      </w:numPr>
      <w:spacing w:after="200" w:line="240" w:lineRule="auto"/>
    </w:pPr>
    <w:rPr>
      <w:rFonts w:cs="Arial Black"/>
      <w:color w:val="000000"/>
      <w:sz w:val="18"/>
      <w:szCs w:val="18"/>
    </w:rPr>
  </w:style>
  <w:style w:type="paragraph" w:customStyle="1" w:styleId="AnnexureHeading2">
    <w:name w:val="Annexure Heading 2"/>
    <w:basedOn w:val="Normal"/>
    <w:qFormat/>
    <w:rsid w:val="005C0A06"/>
    <w:pPr>
      <w:numPr>
        <w:ilvl w:val="1"/>
        <w:numId w:val="4"/>
      </w:numPr>
    </w:pPr>
  </w:style>
  <w:style w:type="paragraph" w:customStyle="1" w:styleId="AnnexureHeading3">
    <w:name w:val="Annexure Heading 3"/>
    <w:basedOn w:val="Normal"/>
    <w:qFormat/>
    <w:rsid w:val="005C0A06"/>
    <w:pPr>
      <w:numPr>
        <w:ilvl w:val="2"/>
        <w:numId w:val="4"/>
      </w:numPr>
    </w:pPr>
  </w:style>
  <w:style w:type="paragraph" w:customStyle="1" w:styleId="AnnexureHeading4">
    <w:name w:val="Annexure Heading 4"/>
    <w:basedOn w:val="Normal"/>
    <w:qFormat/>
    <w:rsid w:val="005C0A06"/>
    <w:pPr>
      <w:numPr>
        <w:ilvl w:val="3"/>
        <w:numId w:val="4"/>
      </w:numPr>
    </w:pPr>
  </w:style>
  <w:style w:type="paragraph" w:customStyle="1" w:styleId="ScheduleHeading1">
    <w:name w:val="Schedule Heading 1"/>
    <w:basedOn w:val="Normal"/>
    <w:next w:val="ScheduleHeading2"/>
    <w:qFormat/>
    <w:rsid w:val="005C0A06"/>
    <w:pPr>
      <w:numPr>
        <w:numId w:val="1"/>
      </w:numPr>
      <w:spacing w:line="200" w:lineRule="exact"/>
      <w:ind w:left="726" w:hanging="726"/>
    </w:pPr>
    <w:rPr>
      <w:b/>
      <w:color w:val="000000" w:themeColor="text1"/>
      <w:sz w:val="18"/>
      <w:szCs w:val="18"/>
    </w:rPr>
  </w:style>
  <w:style w:type="paragraph" w:customStyle="1" w:styleId="ScheduleHeading2">
    <w:name w:val="Schedule Heading 2"/>
    <w:basedOn w:val="Normal"/>
    <w:qFormat/>
    <w:rsid w:val="005C0A06"/>
    <w:pPr>
      <w:numPr>
        <w:ilvl w:val="1"/>
        <w:numId w:val="1"/>
      </w:numPr>
      <w:spacing w:line="240" w:lineRule="exact"/>
      <w:ind w:left="1440" w:hanging="720"/>
    </w:pPr>
    <w:rPr>
      <w:color w:val="000000" w:themeColor="text1"/>
      <w:sz w:val="18"/>
      <w:szCs w:val="18"/>
    </w:rPr>
  </w:style>
  <w:style w:type="paragraph" w:customStyle="1" w:styleId="ScheduleHeading3">
    <w:name w:val="Schedule Heading 3"/>
    <w:basedOn w:val="Normal"/>
    <w:qFormat/>
    <w:rsid w:val="005C0A06"/>
    <w:pPr>
      <w:numPr>
        <w:ilvl w:val="2"/>
        <w:numId w:val="1"/>
      </w:numPr>
      <w:spacing w:line="240" w:lineRule="auto"/>
      <w:ind w:left="2160" w:hanging="720"/>
    </w:pPr>
    <w:rPr>
      <w:sz w:val="18"/>
      <w:szCs w:val="18"/>
    </w:rPr>
  </w:style>
  <w:style w:type="paragraph" w:customStyle="1" w:styleId="ScheduleHeading4">
    <w:name w:val="Schedule Heading 4"/>
    <w:basedOn w:val="Normal"/>
    <w:qFormat/>
    <w:rsid w:val="005C0A06"/>
    <w:pPr>
      <w:numPr>
        <w:ilvl w:val="3"/>
        <w:numId w:val="1"/>
      </w:numPr>
    </w:pPr>
  </w:style>
  <w:style w:type="table" w:styleId="TableGrid">
    <w:name w:val="Table Grid"/>
    <w:uiPriority w:val="59"/>
    <w:rsid w:val="005C0A06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ureHeading5">
    <w:name w:val="Annexure Heading 5"/>
    <w:basedOn w:val="Normal"/>
    <w:qFormat/>
    <w:rsid w:val="005C0A06"/>
    <w:pPr>
      <w:numPr>
        <w:ilvl w:val="4"/>
        <w:numId w:val="4"/>
      </w:numPr>
    </w:pPr>
  </w:style>
  <w:style w:type="paragraph" w:customStyle="1" w:styleId="ScheduleHeading5">
    <w:name w:val="Schedule Heading 5"/>
    <w:basedOn w:val="Normal"/>
    <w:qFormat/>
    <w:rsid w:val="005C0A06"/>
    <w:pPr>
      <w:numPr>
        <w:ilvl w:val="4"/>
        <w:numId w:val="1"/>
      </w:numPr>
    </w:pPr>
  </w:style>
  <w:style w:type="paragraph" w:styleId="ListParagraph">
    <w:name w:val="List Paragraph"/>
    <w:basedOn w:val="Normal"/>
    <w:uiPriority w:val="1"/>
    <w:qFormat/>
    <w:rsid w:val="005C0A06"/>
    <w:pPr>
      <w:numPr>
        <w:numId w:val="6"/>
      </w:numPr>
      <w:spacing w:after="240" w:line="260" w:lineRule="exact"/>
    </w:pPr>
  </w:style>
  <w:style w:type="character" w:customStyle="1" w:styleId="Bodytext2">
    <w:name w:val="Body text (2)"/>
    <w:basedOn w:val="DefaultParagraphFont"/>
    <w:rsid w:val="005C0A06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Rollesby Parish Clerk</cp:lastModifiedBy>
  <cp:revision>7</cp:revision>
  <dcterms:created xsi:type="dcterms:W3CDTF">2018-02-28T18:18:00Z</dcterms:created>
  <dcterms:modified xsi:type="dcterms:W3CDTF">2018-04-04T18:11:00Z</dcterms:modified>
</cp:coreProperties>
</file>